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28BE2" w14:textId="77777777" w:rsidR="00FD00C0" w:rsidRDefault="00C95DDD">
      <w:pPr>
        <w:spacing w:before="60"/>
        <w:ind w:right="708"/>
        <w:jc w:val="right"/>
        <w:rPr>
          <w:i/>
          <w:sz w:val="24"/>
          <w:szCs w:val="24"/>
        </w:rPr>
      </w:pPr>
      <w:r>
        <w:rPr>
          <w:b/>
          <w:i/>
          <w:sz w:val="24"/>
          <w:szCs w:val="24"/>
        </w:rPr>
        <w:t>Додаток №9 (</w:t>
      </w:r>
      <w:r>
        <w:rPr>
          <w:i/>
          <w:sz w:val="24"/>
          <w:szCs w:val="24"/>
        </w:rPr>
        <w:t>до регламенту)</w:t>
      </w:r>
    </w:p>
    <w:p w14:paraId="011D2496" w14:textId="77777777" w:rsidR="00FD00C0" w:rsidRDefault="00FD00C0">
      <w:pPr>
        <w:spacing w:before="60"/>
        <w:ind w:right="708"/>
        <w:rPr>
          <w:sz w:val="24"/>
          <w:szCs w:val="24"/>
        </w:rPr>
      </w:pPr>
    </w:p>
    <w:p w14:paraId="56114CE8" w14:textId="77777777" w:rsidR="00FD00C0" w:rsidRDefault="00C95DDD">
      <w:pPr>
        <w:shd w:val="clear" w:color="auto" w:fill="FFFFFF"/>
        <w:ind w:left="426" w:right="124" w:hanging="426"/>
        <w:jc w:val="center"/>
        <w:rPr>
          <w:b/>
          <w:sz w:val="28"/>
          <w:szCs w:val="28"/>
          <w:highlight w:val="white"/>
        </w:rPr>
      </w:pPr>
      <w:r>
        <w:rPr>
          <w:b/>
          <w:sz w:val="28"/>
          <w:szCs w:val="28"/>
          <w:highlight w:val="white"/>
        </w:rPr>
        <w:t>Додаткові заходи безпеки</w:t>
      </w:r>
    </w:p>
    <w:p w14:paraId="70C045E2" w14:textId="77777777" w:rsidR="00FD00C0" w:rsidRDefault="00C95DDD">
      <w:pPr>
        <w:shd w:val="clear" w:color="auto" w:fill="FFFFFF"/>
        <w:ind w:left="426" w:right="124" w:hanging="426"/>
        <w:jc w:val="center"/>
        <w:rPr>
          <w:b/>
          <w:sz w:val="28"/>
          <w:szCs w:val="28"/>
          <w:highlight w:val="white"/>
        </w:rPr>
      </w:pPr>
      <w:r>
        <w:rPr>
          <w:b/>
          <w:sz w:val="28"/>
          <w:szCs w:val="28"/>
          <w:highlight w:val="white"/>
        </w:rPr>
        <w:t>для організації та проведення на території України</w:t>
      </w:r>
    </w:p>
    <w:p w14:paraId="1B45E019" w14:textId="77777777" w:rsidR="00FD00C0" w:rsidRDefault="00C95DDD">
      <w:pPr>
        <w:shd w:val="clear" w:color="auto" w:fill="FFFFFF"/>
        <w:ind w:left="426" w:right="124" w:hanging="426"/>
        <w:jc w:val="center"/>
        <w:rPr>
          <w:b/>
          <w:sz w:val="28"/>
          <w:szCs w:val="28"/>
          <w:highlight w:val="white"/>
        </w:rPr>
      </w:pPr>
      <w:r>
        <w:rPr>
          <w:b/>
          <w:sz w:val="28"/>
          <w:szCs w:val="28"/>
          <w:highlight w:val="white"/>
        </w:rPr>
        <w:t xml:space="preserve"> чемпіонатів, Кубків та всеукраїнських змагань серед дорослих та найближчих до них вікових груп в умовах воєнного стану. </w:t>
      </w:r>
    </w:p>
    <w:p w14:paraId="62B2CF42" w14:textId="77777777" w:rsidR="00FD00C0" w:rsidRDefault="00FD00C0">
      <w:pPr>
        <w:shd w:val="clear" w:color="auto" w:fill="FFFFFF"/>
        <w:ind w:left="426" w:right="124" w:hanging="426"/>
        <w:jc w:val="center"/>
        <w:rPr>
          <w:b/>
          <w:sz w:val="28"/>
          <w:szCs w:val="28"/>
          <w:highlight w:val="white"/>
        </w:rPr>
      </w:pPr>
    </w:p>
    <w:p w14:paraId="00C60F51" w14:textId="77777777" w:rsidR="00FD00C0" w:rsidRDefault="00C95DDD">
      <w:pPr>
        <w:shd w:val="clear" w:color="auto" w:fill="FFFFFF"/>
        <w:ind w:right="124" w:firstLine="567"/>
        <w:jc w:val="both"/>
        <w:rPr>
          <w:b/>
          <w:sz w:val="28"/>
          <w:szCs w:val="28"/>
          <w:highlight w:val="white"/>
        </w:rPr>
      </w:pPr>
      <w:r>
        <w:rPr>
          <w:sz w:val="28"/>
          <w:szCs w:val="28"/>
        </w:rPr>
        <w:t xml:space="preserve">Чемпіонати, Кубки, </w:t>
      </w:r>
      <w:proofErr w:type="spellStart"/>
      <w:r>
        <w:rPr>
          <w:sz w:val="28"/>
          <w:szCs w:val="28"/>
        </w:rPr>
        <w:t>Суперкубок</w:t>
      </w:r>
      <w:proofErr w:type="spellEnd"/>
      <w:r>
        <w:rPr>
          <w:sz w:val="28"/>
          <w:szCs w:val="28"/>
        </w:rPr>
        <w:t xml:space="preserve"> організуються та плануються до проведення в окремих регіонах України в умовах воєнного стану за письмовим погодженням з відповідними обласними або Київською міською військовими адміністраціями.</w:t>
      </w:r>
      <w:r>
        <w:rPr>
          <w:b/>
          <w:sz w:val="28"/>
          <w:szCs w:val="28"/>
          <w:highlight w:val="white"/>
        </w:rPr>
        <w:t xml:space="preserve"> Змагання проводяться без глядачів.</w:t>
      </w:r>
    </w:p>
    <w:p w14:paraId="49463EF6" w14:textId="77777777" w:rsidR="00FD00C0" w:rsidRDefault="00FD00C0">
      <w:pPr>
        <w:jc w:val="both"/>
        <w:rPr>
          <w:sz w:val="28"/>
          <w:szCs w:val="28"/>
        </w:rPr>
      </w:pPr>
    </w:p>
    <w:p w14:paraId="26EA4779" w14:textId="77777777" w:rsidR="00FD00C0" w:rsidRDefault="00C95DDD">
      <w:pPr>
        <w:tabs>
          <w:tab w:val="left" w:pos="708"/>
          <w:tab w:val="left" w:pos="993"/>
          <w:tab w:val="left" w:pos="1416"/>
          <w:tab w:val="left" w:pos="2124"/>
          <w:tab w:val="left" w:pos="2832"/>
          <w:tab w:val="left" w:pos="3540"/>
          <w:tab w:val="left" w:pos="4248"/>
          <w:tab w:val="left" w:pos="4956"/>
          <w:tab w:val="left" w:pos="5664"/>
          <w:tab w:val="left" w:pos="6372"/>
          <w:tab w:val="left" w:pos="7080"/>
          <w:tab w:val="left" w:pos="7785"/>
        </w:tabs>
        <w:ind w:firstLine="567"/>
        <w:jc w:val="center"/>
        <w:rPr>
          <w:sz w:val="28"/>
          <w:szCs w:val="28"/>
        </w:rPr>
      </w:pPr>
      <w:r>
        <w:rPr>
          <w:sz w:val="28"/>
          <w:szCs w:val="28"/>
        </w:rPr>
        <w:t>Порядок узгодження та проведення спортивного заходу.</w:t>
      </w:r>
    </w:p>
    <w:p w14:paraId="04C4C5AD" w14:textId="77777777" w:rsidR="00FD00C0" w:rsidRDefault="00C95DDD">
      <w:pPr>
        <w:widowControl/>
        <w:numPr>
          <w:ilvl w:val="0"/>
          <w:numId w:val="1"/>
        </w:numPr>
        <w:pBdr>
          <w:top w:val="nil"/>
          <w:left w:val="nil"/>
          <w:bottom w:val="nil"/>
          <w:right w:val="nil"/>
          <w:between w:val="nil"/>
        </w:pBdr>
        <w:tabs>
          <w:tab w:val="left" w:pos="993"/>
        </w:tabs>
        <w:spacing w:line="259" w:lineRule="auto"/>
        <w:ind w:left="0" w:firstLine="567"/>
        <w:jc w:val="both"/>
        <w:rPr>
          <w:color w:val="000000"/>
          <w:sz w:val="28"/>
          <w:szCs w:val="28"/>
        </w:rPr>
      </w:pPr>
      <w:r>
        <w:rPr>
          <w:color w:val="000000"/>
          <w:sz w:val="28"/>
          <w:szCs w:val="28"/>
        </w:rPr>
        <w:t xml:space="preserve">Представник спортивної федерації разом з керівником спортивної споруди, представником структурного підрозділу з питань фізичної культури і спорту із залученням </w:t>
      </w:r>
      <w:r>
        <w:rPr>
          <w:sz w:val="28"/>
          <w:szCs w:val="28"/>
        </w:rPr>
        <w:t>представника</w:t>
      </w:r>
      <w:r>
        <w:rPr>
          <w:color w:val="000000"/>
          <w:sz w:val="28"/>
          <w:szCs w:val="28"/>
        </w:rPr>
        <w:t xml:space="preserve"> ДСНС та Національної поліції (далі - робоча група) проводять попередній огляд місця проведення відповідного спортивного заходу.</w:t>
      </w:r>
    </w:p>
    <w:p w14:paraId="0BE033B9" w14:textId="77777777" w:rsidR="00FD00C0" w:rsidRDefault="00C95DDD">
      <w:pPr>
        <w:widowControl/>
        <w:numPr>
          <w:ilvl w:val="0"/>
          <w:numId w:val="1"/>
        </w:numPr>
        <w:pBdr>
          <w:top w:val="nil"/>
          <w:left w:val="nil"/>
          <w:bottom w:val="nil"/>
          <w:right w:val="nil"/>
          <w:between w:val="nil"/>
        </w:pBdr>
        <w:tabs>
          <w:tab w:val="left" w:pos="993"/>
        </w:tabs>
        <w:spacing w:line="259" w:lineRule="auto"/>
        <w:ind w:left="0" w:firstLine="567"/>
        <w:jc w:val="both"/>
        <w:rPr>
          <w:color w:val="000000"/>
          <w:sz w:val="28"/>
          <w:szCs w:val="28"/>
        </w:rPr>
      </w:pPr>
      <w:r>
        <w:rPr>
          <w:color w:val="000000"/>
          <w:sz w:val="28"/>
          <w:szCs w:val="28"/>
        </w:rPr>
        <w:t>Представник спортивної федерації доводить до робочої групи орієнтовну кількість учасників спортивного заходу.</w:t>
      </w:r>
    </w:p>
    <w:p w14:paraId="332D0AB0" w14:textId="77777777" w:rsidR="00FD00C0" w:rsidRDefault="00C95DDD">
      <w:pPr>
        <w:widowControl/>
        <w:numPr>
          <w:ilvl w:val="0"/>
          <w:numId w:val="1"/>
        </w:numPr>
        <w:pBdr>
          <w:top w:val="nil"/>
          <w:left w:val="nil"/>
          <w:bottom w:val="nil"/>
          <w:right w:val="nil"/>
          <w:between w:val="nil"/>
        </w:pBdr>
        <w:tabs>
          <w:tab w:val="left" w:pos="993"/>
        </w:tabs>
        <w:spacing w:line="259" w:lineRule="auto"/>
        <w:ind w:left="0" w:firstLine="567"/>
        <w:jc w:val="both"/>
        <w:rPr>
          <w:color w:val="000000"/>
          <w:sz w:val="28"/>
          <w:szCs w:val="28"/>
        </w:rPr>
      </w:pPr>
      <w:bookmarkStart w:id="0" w:name="_heading=h.gjdgxs" w:colFirst="0" w:colLast="0"/>
      <w:bookmarkEnd w:id="0"/>
      <w:r>
        <w:rPr>
          <w:color w:val="000000"/>
          <w:sz w:val="28"/>
          <w:szCs w:val="28"/>
        </w:rPr>
        <w:t>Робоча група проводить попередній огляд укриття або споруди, що може бути використана як укриття, на віддаленість не більше як 500 метрів від місця проведення заходу,  на можливість вмістити всіх учасників спортивного заходу.</w:t>
      </w:r>
    </w:p>
    <w:p w14:paraId="61FFCA8B" w14:textId="77777777" w:rsidR="00FD00C0" w:rsidRDefault="00C95DDD">
      <w:pPr>
        <w:widowControl/>
        <w:numPr>
          <w:ilvl w:val="0"/>
          <w:numId w:val="1"/>
        </w:numPr>
        <w:pBdr>
          <w:top w:val="nil"/>
          <w:left w:val="nil"/>
          <w:bottom w:val="nil"/>
          <w:right w:val="nil"/>
          <w:between w:val="nil"/>
        </w:pBdr>
        <w:tabs>
          <w:tab w:val="left" w:pos="993"/>
        </w:tabs>
        <w:spacing w:line="259" w:lineRule="auto"/>
        <w:ind w:left="0" w:firstLine="567"/>
        <w:jc w:val="both"/>
        <w:rPr>
          <w:color w:val="000000"/>
          <w:sz w:val="28"/>
          <w:szCs w:val="28"/>
        </w:rPr>
      </w:pPr>
      <w:r>
        <w:rPr>
          <w:color w:val="000000"/>
          <w:sz w:val="28"/>
          <w:szCs w:val="28"/>
        </w:rPr>
        <w:t xml:space="preserve"> Керівник структурного підрозділу з питань фізичної культури і спорту в письмовій формі інформує Міністерство молоді та спорту України та спортивну федерацію щодо можливості проведення в регіоні спортивного заходу, готовність укриття або споруди, що може бути використана як укриття.</w:t>
      </w:r>
    </w:p>
    <w:p w14:paraId="2D0A10B6" w14:textId="77777777" w:rsidR="00FD00C0" w:rsidRDefault="00C95DDD">
      <w:pPr>
        <w:widowControl/>
        <w:numPr>
          <w:ilvl w:val="0"/>
          <w:numId w:val="1"/>
        </w:numPr>
        <w:pBdr>
          <w:top w:val="nil"/>
          <w:left w:val="nil"/>
          <w:bottom w:val="nil"/>
          <w:right w:val="nil"/>
          <w:between w:val="nil"/>
        </w:pBdr>
        <w:tabs>
          <w:tab w:val="left" w:pos="993"/>
        </w:tabs>
        <w:spacing w:line="259" w:lineRule="auto"/>
        <w:ind w:left="0" w:firstLine="567"/>
        <w:jc w:val="both"/>
        <w:rPr>
          <w:color w:val="000000"/>
          <w:sz w:val="28"/>
          <w:szCs w:val="28"/>
        </w:rPr>
      </w:pPr>
      <w:r>
        <w:rPr>
          <w:color w:val="000000"/>
          <w:sz w:val="28"/>
          <w:szCs w:val="28"/>
        </w:rPr>
        <w:t xml:space="preserve">Керівник спортивної споруди має розробити План дій на випадок оголошення повітряної тривоги, а також схеми шляхів евакуації. У Плані повинні бути викладені поетапні дії та заходи, яких слід вжити за даних обставин. </w:t>
      </w:r>
    </w:p>
    <w:p w14:paraId="762FE444" w14:textId="77777777" w:rsidR="00FD00C0" w:rsidRDefault="00C95DDD">
      <w:pPr>
        <w:widowControl/>
        <w:numPr>
          <w:ilvl w:val="0"/>
          <w:numId w:val="1"/>
        </w:numPr>
        <w:pBdr>
          <w:top w:val="nil"/>
          <w:left w:val="nil"/>
          <w:bottom w:val="nil"/>
          <w:right w:val="nil"/>
          <w:between w:val="nil"/>
        </w:pBdr>
        <w:tabs>
          <w:tab w:val="left" w:pos="993"/>
        </w:tabs>
        <w:spacing w:line="259" w:lineRule="auto"/>
        <w:ind w:left="0" w:firstLine="567"/>
        <w:jc w:val="both"/>
        <w:rPr>
          <w:color w:val="000000"/>
          <w:sz w:val="28"/>
          <w:szCs w:val="28"/>
        </w:rPr>
      </w:pPr>
      <w:r>
        <w:rPr>
          <w:color w:val="000000"/>
          <w:sz w:val="28"/>
          <w:szCs w:val="28"/>
        </w:rPr>
        <w:t xml:space="preserve">Схеми шляхів евакуації повинні бути розміщені в усіх доступних місцях спортивної споруди. </w:t>
      </w:r>
    </w:p>
    <w:p w14:paraId="2654EFDA" w14:textId="77777777" w:rsidR="00FD00C0" w:rsidRDefault="00C95DDD">
      <w:pPr>
        <w:widowControl/>
        <w:numPr>
          <w:ilvl w:val="0"/>
          <w:numId w:val="1"/>
        </w:numPr>
        <w:pBdr>
          <w:top w:val="nil"/>
          <w:left w:val="nil"/>
          <w:bottom w:val="nil"/>
          <w:right w:val="nil"/>
          <w:between w:val="nil"/>
        </w:pBdr>
        <w:tabs>
          <w:tab w:val="left" w:pos="993"/>
        </w:tabs>
        <w:spacing w:line="259" w:lineRule="auto"/>
        <w:ind w:left="0" w:firstLine="567"/>
        <w:jc w:val="both"/>
        <w:rPr>
          <w:color w:val="000000"/>
          <w:sz w:val="28"/>
          <w:szCs w:val="28"/>
        </w:rPr>
      </w:pPr>
      <w:r>
        <w:rPr>
          <w:color w:val="000000"/>
          <w:sz w:val="28"/>
          <w:szCs w:val="28"/>
        </w:rPr>
        <w:t>Кожен учасник спортивного заходу в обов’язковому порядку має пройти інструктаж та завізувати ознайомчу форму (додаток 1), що є невід’ємною складовою заявки на змагання.</w:t>
      </w:r>
    </w:p>
    <w:p w14:paraId="23824E72" w14:textId="77777777" w:rsidR="00FD00C0" w:rsidRDefault="00C95DDD">
      <w:pPr>
        <w:widowControl/>
        <w:numPr>
          <w:ilvl w:val="0"/>
          <w:numId w:val="1"/>
        </w:numPr>
        <w:pBdr>
          <w:top w:val="nil"/>
          <w:left w:val="nil"/>
          <w:bottom w:val="nil"/>
          <w:right w:val="nil"/>
          <w:between w:val="nil"/>
        </w:pBdr>
        <w:tabs>
          <w:tab w:val="left" w:pos="993"/>
        </w:tabs>
        <w:spacing w:line="259" w:lineRule="auto"/>
        <w:ind w:left="0" w:firstLine="567"/>
        <w:jc w:val="both"/>
        <w:rPr>
          <w:color w:val="000000"/>
          <w:sz w:val="28"/>
          <w:szCs w:val="28"/>
        </w:rPr>
      </w:pPr>
      <w:r>
        <w:rPr>
          <w:color w:val="000000"/>
          <w:sz w:val="28"/>
          <w:szCs w:val="28"/>
        </w:rPr>
        <w:t>За 48 годин до початку змагань представники команд подають до секретаріату заявку зі складом спортсменів, тренерів, суддів та фахівців, які візьмуть участь у змаганні або будуть залучені до його проведення.</w:t>
      </w:r>
    </w:p>
    <w:p w14:paraId="5908337E" w14:textId="77777777" w:rsidR="00FD00C0" w:rsidRDefault="00C95DDD">
      <w:pPr>
        <w:widowControl/>
        <w:numPr>
          <w:ilvl w:val="0"/>
          <w:numId w:val="1"/>
        </w:numPr>
        <w:pBdr>
          <w:top w:val="nil"/>
          <w:left w:val="nil"/>
          <w:bottom w:val="nil"/>
          <w:right w:val="nil"/>
          <w:between w:val="nil"/>
        </w:pBdr>
        <w:tabs>
          <w:tab w:val="left" w:pos="993"/>
        </w:tabs>
        <w:spacing w:line="259" w:lineRule="auto"/>
        <w:ind w:left="0" w:firstLine="567"/>
        <w:jc w:val="both"/>
        <w:rPr>
          <w:color w:val="000000"/>
          <w:sz w:val="28"/>
          <w:szCs w:val="28"/>
        </w:rPr>
      </w:pPr>
      <w:r>
        <w:rPr>
          <w:color w:val="000000"/>
          <w:sz w:val="28"/>
          <w:szCs w:val="28"/>
        </w:rPr>
        <w:t>Секретар змагань узагальнює список спортсменів, тренерів, суддів та фахівців та передає представнику охорони або Національної поліції, які забезпечуватимуть безпеку проведення заходу.</w:t>
      </w:r>
    </w:p>
    <w:p w14:paraId="2AAC5EF0" w14:textId="77777777" w:rsidR="00FD00C0" w:rsidRDefault="00C95DDD">
      <w:pPr>
        <w:widowControl/>
        <w:numPr>
          <w:ilvl w:val="0"/>
          <w:numId w:val="1"/>
        </w:numPr>
        <w:pBdr>
          <w:top w:val="nil"/>
          <w:left w:val="nil"/>
          <w:bottom w:val="nil"/>
          <w:right w:val="nil"/>
          <w:between w:val="nil"/>
        </w:pBdr>
        <w:tabs>
          <w:tab w:val="left" w:pos="993"/>
        </w:tabs>
        <w:spacing w:line="259" w:lineRule="auto"/>
        <w:ind w:left="0" w:firstLine="567"/>
        <w:jc w:val="both"/>
        <w:rPr>
          <w:color w:val="000000"/>
          <w:sz w:val="28"/>
          <w:szCs w:val="28"/>
        </w:rPr>
      </w:pPr>
      <w:r>
        <w:rPr>
          <w:color w:val="000000"/>
          <w:sz w:val="28"/>
          <w:szCs w:val="28"/>
        </w:rPr>
        <w:t xml:space="preserve"> За добу до початку змагань керівник спортивної споруди організовує спільну нараду з представниками структурного підрозділу з питань фізичної культури і спорту, спортивної федерації, головного судді, секретаря, органу охорони здоров’я, Національної поліції, ДСНС, </w:t>
      </w:r>
      <w:proofErr w:type="spellStart"/>
      <w:r>
        <w:rPr>
          <w:color w:val="000000"/>
          <w:sz w:val="28"/>
          <w:szCs w:val="28"/>
        </w:rPr>
        <w:t>вибухотехнічної</w:t>
      </w:r>
      <w:proofErr w:type="spellEnd"/>
      <w:r>
        <w:rPr>
          <w:color w:val="000000"/>
          <w:sz w:val="28"/>
          <w:szCs w:val="28"/>
        </w:rPr>
        <w:t xml:space="preserve"> служби Національної поліції задля </w:t>
      </w:r>
      <w:r>
        <w:rPr>
          <w:color w:val="000000"/>
          <w:sz w:val="28"/>
          <w:szCs w:val="28"/>
        </w:rPr>
        <w:lastRenderedPageBreak/>
        <w:t xml:space="preserve">координації спільних дій під час проведення змагань та унеможливлення або попередження виникнення надзвичайної ситуації та доводить до відома План дій на випадок оголошення повітряної тривоги.   </w:t>
      </w:r>
    </w:p>
    <w:p w14:paraId="31C2E1D3" w14:textId="77777777" w:rsidR="00FD00C0" w:rsidRDefault="00C95DDD">
      <w:pPr>
        <w:widowControl/>
        <w:numPr>
          <w:ilvl w:val="0"/>
          <w:numId w:val="1"/>
        </w:numPr>
        <w:pBdr>
          <w:top w:val="nil"/>
          <w:left w:val="nil"/>
          <w:bottom w:val="nil"/>
          <w:right w:val="nil"/>
          <w:between w:val="nil"/>
        </w:pBdr>
        <w:tabs>
          <w:tab w:val="left" w:pos="993"/>
        </w:tabs>
        <w:spacing w:line="259" w:lineRule="auto"/>
        <w:ind w:left="0" w:firstLine="567"/>
        <w:jc w:val="both"/>
        <w:rPr>
          <w:color w:val="000000"/>
          <w:sz w:val="28"/>
          <w:szCs w:val="28"/>
        </w:rPr>
      </w:pPr>
      <w:r>
        <w:rPr>
          <w:color w:val="000000"/>
          <w:sz w:val="28"/>
          <w:szCs w:val="28"/>
        </w:rPr>
        <w:t xml:space="preserve"> Перед початком змагань представники </w:t>
      </w:r>
      <w:proofErr w:type="spellStart"/>
      <w:r>
        <w:rPr>
          <w:color w:val="000000"/>
          <w:sz w:val="28"/>
          <w:szCs w:val="28"/>
        </w:rPr>
        <w:t>вибухотехнічної</w:t>
      </w:r>
      <w:proofErr w:type="spellEnd"/>
      <w:r>
        <w:rPr>
          <w:color w:val="000000"/>
          <w:sz w:val="28"/>
          <w:szCs w:val="28"/>
        </w:rPr>
        <w:t xml:space="preserve"> служби Національної поліції здійснюють ретельний огляд місця проведення змагань на предмет наявності вибухонебезпечних предметів.</w:t>
      </w:r>
    </w:p>
    <w:p w14:paraId="1C5E1DD1" w14:textId="77777777" w:rsidR="00FD00C0" w:rsidRDefault="00C95DDD">
      <w:pPr>
        <w:widowControl/>
        <w:numPr>
          <w:ilvl w:val="0"/>
          <w:numId w:val="1"/>
        </w:numPr>
        <w:pBdr>
          <w:top w:val="nil"/>
          <w:left w:val="nil"/>
          <w:bottom w:val="nil"/>
          <w:right w:val="nil"/>
          <w:between w:val="nil"/>
        </w:pBdr>
        <w:tabs>
          <w:tab w:val="left" w:pos="993"/>
        </w:tabs>
        <w:spacing w:line="259" w:lineRule="auto"/>
        <w:ind w:left="0" w:firstLine="567"/>
        <w:jc w:val="both"/>
        <w:rPr>
          <w:color w:val="000000"/>
          <w:sz w:val="28"/>
          <w:szCs w:val="28"/>
        </w:rPr>
      </w:pPr>
      <w:r>
        <w:rPr>
          <w:color w:val="000000"/>
          <w:sz w:val="28"/>
          <w:szCs w:val="28"/>
        </w:rPr>
        <w:t xml:space="preserve"> Національна поліція забезпечує правопорядок та пропускний режим на спортивний об’єкт під час проведення змагань.</w:t>
      </w:r>
    </w:p>
    <w:p w14:paraId="61AA9D4F" w14:textId="77777777" w:rsidR="00FD00C0" w:rsidRDefault="00C95DDD">
      <w:pPr>
        <w:widowControl/>
        <w:numPr>
          <w:ilvl w:val="0"/>
          <w:numId w:val="1"/>
        </w:numPr>
        <w:pBdr>
          <w:top w:val="nil"/>
          <w:left w:val="nil"/>
          <w:bottom w:val="nil"/>
          <w:right w:val="nil"/>
          <w:between w:val="nil"/>
        </w:pBdr>
        <w:tabs>
          <w:tab w:val="left" w:pos="993"/>
        </w:tabs>
        <w:spacing w:line="259" w:lineRule="auto"/>
        <w:ind w:left="0" w:firstLine="567"/>
        <w:jc w:val="both"/>
        <w:rPr>
          <w:color w:val="000000"/>
          <w:sz w:val="28"/>
          <w:szCs w:val="28"/>
        </w:rPr>
      </w:pPr>
      <w:r>
        <w:rPr>
          <w:color w:val="000000"/>
          <w:sz w:val="28"/>
          <w:szCs w:val="28"/>
        </w:rPr>
        <w:t xml:space="preserve"> ДСНС забезпечує чергування пожежної машини на весь час проведення змагань.</w:t>
      </w:r>
    </w:p>
    <w:p w14:paraId="6961DD5A" w14:textId="77777777" w:rsidR="00FD00C0" w:rsidRDefault="00C95DDD">
      <w:pPr>
        <w:widowControl/>
        <w:numPr>
          <w:ilvl w:val="0"/>
          <w:numId w:val="1"/>
        </w:numPr>
        <w:pBdr>
          <w:top w:val="nil"/>
          <w:left w:val="nil"/>
          <w:bottom w:val="nil"/>
          <w:right w:val="nil"/>
          <w:between w:val="nil"/>
        </w:pBdr>
        <w:tabs>
          <w:tab w:val="left" w:pos="993"/>
        </w:tabs>
        <w:spacing w:line="259" w:lineRule="auto"/>
        <w:ind w:left="0" w:firstLine="567"/>
        <w:jc w:val="both"/>
        <w:rPr>
          <w:color w:val="000000"/>
          <w:sz w:val="28"/>
          <w:szCs w:val="28"/>
        </w:rPr>
      </w:pPr>
      <w:r>
        <w:rPr>
          <w:color w:val="000000"/>
          <w:sz w:val="28"/>
          <w:szCs w:val="28"/>
        </w:rPr>
        <w:t xml:space="preserve"> Орган охорони здоров’я забезпечує чергування машини швидкої допомоги на весь час проведення змагань.</w:t>
      </w:r>
    </w:p>
    <w:p w14:paraId="6A75B6FC" w14:textId="77777777" w:rsidR="00FD00C0" w:rsidRDefault="00C95DDD">
      <w:pPr>
        <w:widowControl/>
        <w:numPr>
          <w:ilvl w:val="0"/>
          <w:numId w:val="1"/>
        </w:numPr>
        <w:pBdr>
          <w:top w:val="nil"/>
          <w:left w:val="nil"/>
          <w:bottom w:val="nil"/>
          <w:right w:val="nil"/>
          <w:between w:val="nil"/>
        </w:pBdr>
        <w:tabs>
          <w:tab w:val="left" w:pos="993"/>
        </w:tabs>
        <w:spacing w:line="259" w:lineRule="auto"/>
        <w:ind w:left="0" w:firstLine="567"/>
        <w:jc w:val="both"/>
        <w:rPr>
          <w:color w:val="000000"/>
          <w:sz w:val="28"/>
          <w:szCs w:val="28"/>
        </w:rPr>
      </w:pPr>
      <w:r>
        <w:rPr>
          <w:color w:val="000000"/>
          <w:sz w:val="28"/>
          <w:szCs w:val="28"/>
        </w:rPr>
        <w:t xml:space="preserve"> Головний суддя змагань та секретар змагань забезпечують загальне керівництво змаганнями, складають списки учасників і передають до Національної поліції для пропуску на змагання, проводять ознайомчий інструктаж щодо заходів безпеки тощо.</w:t>
      </w:r>
    </w:p>
    <w:p w14:paraId="40F9D3F6" w14:textId="77777777" w:rsidR="00FD00C0" w:rsidRDefault="00C95DDD">
      <w:pPr>
        <w:widowControl/>
        <w:numPr>
          <w:ilvl w:val="0"/>
          <w:numId w:val="1"/>
        </w:numPr>
        <w:pBdr>
          <w:top w:val="nil"/>
          <w:left w:val="nil"/>
          <w:bottom w:val="nil"/>
          <w:right w:val="nil"/>
          <w:between w:val="nil"/>
        </w:pBdr>
        <w:tabs>
          <w:tab w:val="left" w:pos="993"/>
        </w:tabs>
        <w:spacing w:line="259" w:lineRule="auto"/>
        <w:ind w:left="0" w:firstLine="567"/>
        <w:jc w:val="both"/>
        <w:rPr>
          <w:color w:val="000000"/>
          <w:sz w:val="28"/>
          <w:szCs w:val="28"/>
        </w:rPr>
      </w:pPr>
      <w:r>
        <w:rPr>
          <w:color w:val="000000"/>
          <w:sz w:val="28"/>
          <w:szCs w:val="28"/>
        </w:rPr>
        <w:t xml:space="preserve"> Керівник структурного підрозділу з питань фізичної культури і спорту забезпечує загальну комунікацію між усіма задіяними особами.</w:t>
      </w:r>
    </w:p>
    <w:p w14:paraId="4B456C38" w14:textId="77777777" w:rsidR="00FD00C0" w:rsidRDefault="00C95DDD">
      <w:pPr>
        <w:widowControl/>
        <w:numPr>
          <w:ilvl w:val="0"/>
          <w:numId w:val="1"/>
        </w:numPr>
        <w:pBdr>
          <w:top w:val="nil"/>
          <w:left w:val="nil"/>
          <w:bottom w:val="nil"/>
          <w:right w:val="nil"/>
          <w:between w:val="nil"/>
        </w:pBdr>
        <w:tabs>
          <w:tab w:val="left" w:pos="993"/>
        </w:tabs>
        <w:spacing w:line="259" w:lineRule="auto"/>
        <w:ind w:left="0" w:firstLine="567"/>
        <w:jc w:val="both"/>
        <w:rPr>
          <w:color w:val="000000"/>
          <w:sz w:val="28"/>
          <w:szCs w:val="28"/>
        </w:rPr>
      </w:pPr>
      <w:r>
        <w:rPr>
          <w:color w:val="000000"/>
          <w:sz w:val="28"/>
          <w:szCs w:val="28"/>
        </w:rPr>
        <w:t xml:space="preserve"> Керівник спортивної споруди забезпечує розміщення схем шляхів евакуації до укриття в усіх доступних місцях, проводить ознайомчий інструктаж щодо заходів безпеки.</w:t>
      </w:r>
    </w:p>
    <w:p w14:paraId="415570BE" w14:textId="77777777" w:rsidR="00FD00C0" w:rsidRDefault="00C95DDD">
      <w:pPr>
        <w:widowControl/>
        <w:numPr>
          <w:ilvl w:val="0"/>
          <w:numId w:val="1"/>
        </w:numPr>
        <w:pBdr>
          <w:top w:val="nil"/>
          <w:left w:val="nil"/>
          <w:bottom w:val="nil"/>
          <w:right w:val="nil"/>
          <w:between w:val="nil"/>
        </w:pBdr>
        <w:tabs>
          <w:tab w:val="left" w:pos="993"/>
        </w:tabs>
        <w:spacing w:line="259" w:lineRule="auto"/>
        <w:ind w:left="0" w:firstLine="567"/>
        <w:jc w:val="both"/>
        <w:rPr>
          <w:color w:val="000000"/>
          <w:sz w:val="28"/>
          <w:szCs w:val="28"/>
        </w:rPr>
      </w:pPr>
      <w:r>
        <w:rPr>
          <w:color w:val="000000"/>
          <w:sz w:val="28"/>
          <w:szCs w:val="28"/>
        </w:rPr>
        <w:t xml:space="preserve"> У разі оголошення повітряної тривоги або настання інших надзвичайних ситуацій чи загроз головний суддя змагань спільно з керівником спортивної споруди приймають рішення щодо евакуації всіх присутніх в укриття. Диктор повинен оголосити наступне: «Увага! Повітряна тривога! Просимо всіх прослідувати в укриття!». </w:t>
      </w:r>
    </w:p>
    <w:p w14:paraId="05D2FF0C" w14:textId="77777777" w:rsidR="00FD00C0" w:rsidRDefault="00C95DDD">
      <w:pPr>
        <w:widowControl/>
        <w:numPr>
          <w:ilvl w:val="0"/>
          <w:numId w:val="1"/>
        </w:numPr>
        <w:pBdr>
          <w:top w:val="nil"/>
          <w:left w:val="nil"/>
          <w:bottom w:val="nil"/>
          <w:right w:val="nil"/>
          <w:between w:val="nil"/>
        </w:pBdr>
        <w:tabs>
          <w:tab w:val="left" w:pos="993"/>
        </w:tabs>
        <w:spacing w:line="259" w:lineRule="auto"/>
        <w:ind w:left="0" w:firstLine="567"/>
        <w:jc w:val="both"/>
        <w:rPr>
          <w:color w:val="000000"/>
          <w:sz w:val="28"/>
          <w:szCs w:val="28"/>
        </w:rPr>
      </w:pPr>
      <w:r>
        <w:rPr>
          <w:color w:val="000000"/>
          <w:sz w:val="28"/>
          <w:szCs w:val="28"/>
        </w:rPr>
        <w:t xml:space="preserve"> Суддя (судді) одразу після оголошення повітряної тривоги зупиняє (</w:t>
      </w:r>
      <w:proofErr w:type="spellStart"/>
      <w:r>
        <w:rPr>
          <w:color w:val="000000"/>
          <w:sz w:val="28"/>
          <w:szCs w:val="28"/>
        </w:rPr>
        <w:t>ють</w:t>
      </w:r>
      <w:proofErr w:type="spellEnd"/>
      <w:r>
        <w:rPr>
          <w:color w:val="000000"/>
          <w:sz w:val="28"/>
          <w:szCs w:val="28"/>
        </w:rPr>
        <w:t>) змагання та разом з командами слідує (</w:t>
      </w:r>
      <w:proofErr w:type="spellStart"/>
      <w:r>
        <w:rPr>
          <w:color w:val="000000"/>
          <w:sz w:val="28"/>
          <w:szCs w:val="28"/>
        </w:rPr>
        <w:t>ють</w:t>
      </w:r>
      <w:proofErr w:type="spellEnd"/>
      <w:r>
        <w:rPr>
          <w:color w:val="000000"/>
          <w:sz w:val="28"/>
          <w:szCs w:val="28"/>
        </w:rPr>
        <w:t>) в укриття.</w:t>
      </w:r>
    </w:p>
    <w:p w14:paraId="0A8F108E" w14:textId="77777777" w:rsidR="00FD00C0" w:rsidRDefault="00C95DDD">
      <w:pPr>
        <w:widowControl/>
        <w:numPr>
          <w:ilvl w:val="0"/>
          <w:numId w:val="1"/>
        </w:numPr>
        <w:pBdr>
          <w:top w:val="nil"/>
          <w:left w:val="nil"/>
          <w:bottom w:val="nil"/>
          <w:right w:val="nil"/>
          <w:between w:val="nil"/>
        </w:pBdr>
        <w:tabs>
          <w:tab w:val="left" w:pos="993"/>
        </w:tabs>
        <w:spacing w:line="259" w:lineRule="auto"/>
        <w:ind w:left="0" w:firstLine="567"/>
        <w:jc w:val="both"/>
        <w:rPr>
          <w:color w:val="000000"/>
          <w:sz w:val="28"/>
          <w:szCs w:val="28"/>
        </w:rPr>
      </w:pPr>
      <w:r>
        <w:rPr>
          <w:color w:val="000000"/>
          <w:sz w:val="28"/>
          <w:szCs w:val="28"/>
        </w:rPr>
        <w:t xml:space="preserve"> Після завершення повітряної тривоги головний суддя сповіщає про вихід із укриття. Приймає рішення про продовження змагань та визначає час початку. Диктор дає оголошення про час початку змагань. </w:t>
      </w:r>
    </w:p>
    <w:p w14:paraId="2D7ADCF9" w14:textId="77777777" w:rsidR="00FD00C0" w:rsidRDefault="00FD00C0">
      <w:pPr>
        <w:widowControl/>
        <w:pBdr>
          <w:top w:val="nil"/>
          <w:left w:val="nil"/>
          <w:bottom w:val="nil"/>
          <w:right w:val="nil"/>
          <w:between w:val="nil"/>
        </w:pBdr>
        <w:tabs>
          <w:tab w:val="left" w:pos="993"/>
        </w:tabs>
        <w:spacing w:line="259" w:lineRule="auto"/>
        <w:ind w:left="567"/>
        <w:jc w:val="both"/>
        <w:rPr>
          <w:color w:val="000000"/>
          <w:sz w:val="28"/>
          <w:szCs w:val="28"/>
        </w:rPr>
      </w:pPr>
    </w:p>
    <w:p w14:paraId="5D7BF793" w14:textId="77777777" w:rsidR="00FD00C0" w:rsidRDefault="00FD00C0">
      <w:pPr>
        <w:widowControl/>
        <w:pBdr>
          <w:top w:val="nil"/>
          <w:left w:val="nil"/>
          <w:bottom w:val="nil"/>
          <w:right w:val="nil"/>
          <w:between w:val="nil"/>
        </w:pBdr>
        <w:tabs>
          <w:tab w:val="left" w:pos="993"/>
        </w:tabs>
        <w:spacing w:line="259" w:lineRule="auto"/>
        <w:ind w:left="567"/>
        <w:jc w:val="both"/>
        <w:rPr>
          <w:color w:val="000000"/>
          <w:sz w:val="28"/>
          <w:szCs w:val="28"/>
        </w:rPr>
      </w:pPr>
    </w:p>
    <w:p w14:paraId="77D5A84D" w14:textId="77777777" w:rsidR="00FD00C0" w:rsidRDefault="00FD00C0">
      <w:pPr>
        <w:widowControl/>
        <w:pBdr>
          <w:top w:val="nil"/>
          <w:left w:val="nil"/>
          <w:bottom w:val="nil"/>
          <w:right w:val="nil"/>
          <w:between w:val="nil"/>
        </w:pBdr>
        <w:tabs>
          <w:tab w:val="left" w:pos="993"/>
        </w:tabs>
        <w:spacing w:line="259" w:lineRule="auto"/>
        <w:ind w:left="567"/>
        <w:jc w:val="both"/>
        <w:rPr>
          <w:color w:val="000000"/>
          <w:sz w:val="28"/>
          <w:szCs w:val="28"/>
        </w:rPr>
      </w:pPr>
    </w:p>
    <w:p w14:paraId="5AA6935F" w14:textId="77777777" w:rsidR="00FD00C0" w:rsidRDefault="00FD00C0">
      <w:pPr>
        <w:widowControl/>
        <w:pBdr>
          <w:top w:val="nil"/>
          <w:left w:val="nil"/>
          <w:bottom w:val="nil"/>
          <w:right w:val="nil"/>
          <w:between w:val="nil"/>
        </w:pBdr>
        <w:tabs>
          <w:tab w:val="left" w:pos="993"/>
        </w:tabs>
        <w:spacing w:line="259" w:lineRule="auto"/>
        <w:ind w:left="567"/>
        <w:jc w:val="both"/>
        <w:rPr>
          <w:color w:val="000000"/>
          <w:sz w:val="28"/>
          <w:szCs w:val="28"/>
        </w:rPr>
      </w:pPr>
    </w:p>
    <w:p w14:paraId="43709806" w14:textId="77777777" w:rsidR="00FD00C0" w:rsidRDefault="00FD00C0">
      <w:pPr>
        <w:widowControl/>
        <w:pBdr>
          <w:top w:val="nil"/>
          <w:left w:val="nil"/>
          <w:bottom w:val="nil"/>
          <w:right w:val="nil"/>
          <w:between w:val="nil"/>
        </w:pBdr>
        <w:tabs>
          <w:tab w:val="left" w:pos="993"/>
        </w:tabs>
        <w:spacing w:line="259" w:lineRule="auto"/>
        <w:ind w:left="567"/>
        <w:jc w:val="both"/>
        <w:rPr>
          <w:color w:val="000000"/>
          <w:sz w:val="28"/>
          <w:szCs w:val="28"/>
        </w:rPr>
      </w:pPr>
    </w:p>
    <w:p w14:paraId="51850954" w14:textId="77777777" w:rsidR="00FD00C0" w:rsidRDefault="00FD00C0">
      <w:pPr>
        <w:widowControl/>
        <w:pBdr>
          <w:top w:val="nil"/>
          <w:left w:val="nil"/>
          <w:bottom w:val="nil"/>
          <w:right w:val="nil"/>
          <w:between w:val="nil"/>
        </w:pBdr>
        <w:tabs>
          <w:tab w:val="left" w:pos="993"/>
        </w:tabs>
        <w:spacing w:after="160" w:line="259" w:lineRule="auto"/>
        <w:ind w:left="567"/>
        <w:jc w:val="both"/>
        <w:rPr>
          <w:color w:val="000000"/>
          <w:sz w:val="28"/>
          <w:szCs w:val="28"/>
        </w:rPr>
      </w:pPr>
    </w:p>
    <w:p w14:paraId="77C3AB9C" w14:textId="77777777" w:rsidR="00FD00C0" w:rsidRDefault="00FD00C0">
      <w:pPr>
        <w:widowControl/>
        <w:tabs>
          <w:tab w:val="left" w:pos="993"/>
        </w:tabs>
        <w:spacing w:line="259" w:lineRule="auto"/>
        <w:rPr>
          <w:sz w:val="28"/>
          <w:szCs w:val="28"/>
        </w:rPr>
      </w:pPr>
    </w:p>
    <w:p w14:paraId="289B868B" w14:textId="77777777" w:rsidR="00FD00C0" w:rsidRDefault="00FD00C0">
      <w:pPr>
        <w:widowControl/>
        <w:tabs>
          <w:tab w:val="left" w:pos="993"/>
        </w:tabs>
        <w:spacing w:line="259" w:lineRule="auto"/>
        <w:rPr>
          <w:sz w:val="28"/>
          <w:szCs w:val="28"/>
        </w:rPr>
      </w:pPr>
    </w:p>
    <w:p w14:paraId="71855A89" w14:textId="77777777" w:rsidR="00FD00C0" w:rsidRDefault="00FD00C0">
      <w:pPr>
        <w:widowControl/>
        <w:tabs>
          <w:tab w:val="left" w:pos="993"/>
        </w:tabs>
        <w:spacing w:line="259" w:lineRule="auto"/>
        <w:rPr>
          <w:sz w:val="28"/>
          <w:szCs w:val="28"/>
        </w:rPr>
      </w:pPr>
    </w:p>
    <w:p w14:paraId="23EF2405" w14:textId="77777777" w:rsidR="00FD00C0" w:rsidRDefault="00FD00C0">
      <w:pPr>
        <w:widowControl/>
        <w:tabs>
          <w:tab w:val="left" w:pos="993"/>
        </w:tabs>
        <w:spacing w:line="259" w:lineRule="auto"/>
        <w:rPr>
          <w:sz w:val="28"/>
          <w:szCs w:val="28"/>
        </w:rPr>
      </w:pPr>
    </w:p>
    <w:p w14:paraId="28459D2C" w14:textId="77777777" w:rsidR="00FD00C0" w:rsidRDefault="00FD00C0">
      <w:pPr>
        <w:widowControl/>
        <w:tabs>
          <w:tab w:val="left" w:pos="993"/>
        </w:tabs>
        <w:spacing w:line="259" w:lineRule="auto"/>
        <w:rPr>
          <w:sz w:val="28"/>
          <w:szCs w:val="28"/>
        </w:rPr>
      </w:pPr>
    </w:p>
    <w:p w14:paraId="11AB7428" w14:textId="77777777" w:rsidR="00FD00C0" w:rsidRDefault="00FD00C0">
      <w:pPr>
        <w:widowControl/>
        <w:tabs>
          <w:tab w:val="left" w:pos="993"/>
        </w:tabs>
        <w:spacing w:line="259" w:lineRule="auto"/>
        <w:rPr>
          <w:sz w:val="28"/>
          <w:szCs w:val="28"/>
        </w:rPr>
      </w:pPr>
    </w:p>
    <w:p w14:paraId="7993EDD5" w14:textId="77777777" w:rsidR="00FD00C0" w:rsidRDefault="00C95DDD">
      <w:pPr>
        <w:jc w:val="right"/>
        <w:rPr>
          <w:i/>
          <w:sz w:val="24"/>
          <w:szCs w:val="24"/>
        </w:rPr>
      </w:pPr>
      <w:r>
        <w:rPr>
          <w:b/>
          <w:i/>
          <w:sz w:val="24"/>
          <w:szCs w:val="24"/>
        </w:rPr>
        <w:lastRenderedPageBreak/>
        <w:t xml:space="preserve">Додаток 9-1 </w:t>
      </w:r>
      <w:r>
        <w:rPr>
          <w:i/>
          <w:sz w:val="24"/>
          <w:szCs w:val="24"/>
        </w:rPr>
        <w:t>(до регламенту)</w:t>
      </w:r>
    </w:p>
    <w:p w14:paraId="3B17F346" w14:textId="77777777" w:rsidR="00FD00C0" w:rsidRDefault="00FD00C0">
      <w:pPr>
        <w:jc w:val="both"/>
        <w:rPr>
          <w:sz w:val="28"/>
          <w:szCs w:val="28"/>
        </w:rPr>
      </w:pPr>
    </w:p>
    <w:p w14:paraId="20DC97AD" w14:textId="77777777" w:rsidR="00FD00C0" w:rsidRDefault="00C95DDD">
      <w:pPr>
        <w:jc w:val="center"/>
        <w:rPr>
          <w:sz w:val="28"/>
          <w:szCs w:val="28"/>
        </w:rPr>
      </w:pPr>
      <w:r>
        <w:rPr>
          <w:sz w:val="28"/>
          <w:szCs w:val="28"/>
        </w:rPr>
        <w:t>Цільовий інструктаж</w:t>
      </w:r>
    </w:p>
    <w:p w14:paraId="49B39A1E" w14:textId="77777777" w:rsidR="00FD00C0" w:rsidRDefault="00C95DDD">
      <w:pPr>
        <w:jc w:val="center"/>
        <w:rPr>
          <w:sz w:val="28"/>
          <w:szCs w:val="28"/>
        </w:rPr>
      </w:pPr>
      <w:r>
        <w:rPr>
          <w:sz w:val="28"/>
          <w:szCs w:val="28"/>
        </w:rPr>
        <w:t>з правил поведінки та порядку дій</w:t>
      </w:r>
    </w:p>
    <w:p w14:paraId="0A2C5BAD" w14:textId="77777777" w:rsidR="00FD00C0" w:rsidRDefault="00C95DDD">
      <w:pPr>
        <w:jc w:val="center"/>
        <w:rPr>
          <w:sz w:val="28"/>
          <w:szCs w:val="28"/>
        </w:rPr>
      </w:pPr>
      <w:r>
        <w:rPr>
          <w:sz w:val="28"/>
          <w:szCs w:val="28"/>
        </w:rPr>
        <w:t>у разі виникнення надзвичайної ситуації</w:t>
      </w:r>
    </w:p>
    <w:p w14:paraId="62C5A91A" w14:textId="77777777" w:rsidR="00FD00C0" w:rsidRDefault="00FD00C0">
      <w:pPr>
        <w:jc w:val="both"/>
        <w:rPr>
          <w:sz w:val="28"/>
          <w:szCs w:val="28"/>
        </w:rPr>
      </w:pPr>
    </w:p>
    <w:p w14:paraId="53F53F8F" w14:textId="77777777" w:rsidR="00FD00C0" w:rsidRDefault="00C95DDD">
      <w:pPr>
        <w:ind w:firstLine="567"/>
        <w:jc w:val="both"/>
        <w:rPr>
          <w:sz w:val="28"/>
          <w:szCs w:val="28"/>
        </w:rPr>
      </w:pPr>
      <w:r>
        <w:rPr>
          <w:sz w:val="28"/>
          <w:szCs w:val="28"/>
        </w:rPr>
        <w:t xml:space="preserve">Я, ____________________________________________________, займаючи посаду ____________________________________________________________________,   отримав інструктаж щодо дій у разі виникнення надзвичайної ситуації або в разі оголошення повітряної тривоги. </w:t>
      </w:r>
    </w:p>
    <w:p w14:paraId="0294271F" w14:textId="77777777" w:rsidR="00FD00C0" w:rsidRDefault="00C95DDD">
      <w:pPr>
        <w:ind w:firstLine="567"/>
        <w:jc w:val="both"/>
        <w:rPr>
          <w:sz w:val="28"/>
          <w:szCs w:val="28"/>
        </w:rPr>
      </w:pPr>
      <w:r>
        <w:rPr>
          <w:sz w:val="28"/>
          <w:szCs w:val="28"/>
        </w:rPr>
        <w:t>Погоджуюся виконувати інструкції, що прописані у «Плані дій на випадок оголошення повітряної тривоги або настання інших надзвичайних ситуацій чи загроз».</w:t>
      </w:r>
    </w:p>
    <w:p w14:paraId="08AD7F65" w14:textId="77777777" w:rsidR="00FD00C0" w:rsidRDefault="00FD00C0">
      <w:pPr>
        <w:jc w:val="both"/>
        <w:rPr>
          <w:sz w:val="28"/>
          <w:szCs w:val="28"/>
        </w:rPr>
      </w:pPr>
    </w:p>
    <w:p w14:paraId="02FD02D7" w14:textId="77777777" w:rsidR="00FD00C0" w:rsidRDefault="00FD00C0">
      <w:pPr>
        <w:jc w:val="both"/>
        <w:rPr>
          <w:sz w:val="28"/>
          <w:szCs w:val="28"/>
        </w:rPr>
      </w:pPr>
    </w:p>
    <w:p w14:paraId="3F629E9B" w14:textId="77777777" w:rsidR="00FD00C0" w:rsidRDefault="00FD00C0">
      <w:pPr>
        <w:jc w:val="both"/>
        <w:rPr>
          <w:sz w:val="28"/>
          <w:szCs w:val="28"/>
        </w:rPr>
      </w:pPr>
    </w:p>
    <w:p w14:paraId="456B66D9" w14:textId="77777777" w:rsidR="00FD00C0" w:rsidRDefault="00C95DDD">
      <w:pPr>
        <w:jc w:val="both"/>
        <w:rPr>
          <w:sz w:val="28"/>
          <w:szCs w:val="28"/>
        </w:rPr>
      </w:pPr>
      <w:r>
        <w:rPr>
          <w:sz w:val="28"/>
          <w:szCs w:val="28"/>
        </w:rPr>
        <w:t>Дата _________________                                                         Підпис _________________</w:t>
      </w:r>
    </w:p>
    <w:p w14:paraId="445561CE" w14:textId="77777777" w:rsidR="00FD00C0" w:rsidRDefault="00FD00C0">
      <w:pPr>
        <w:jc w:val="both"/>
        <w:rPr>
          <w:sz w:val="28"/>
          <w:szCs w:val="28"/>
        </w:rPr>
      </w:pPr>
    </w:p>
    <w:p w14:paraId="1A9606E9" w14:textId="77777777" w:rsidR="00FD00C0" w:rsidRDefault="00FD00C0">
      <w:pPr>
        <w:jc w:val="both"/>
        <w:rPr>
          <w:sz w:val="28"/>
          <w:szCs w:val="28"/>
        </w:rPr>
      </w:pPr>
    </w:p>
    <w:p w14:paraId="0893E1C7" w14:textId="77777777" w:rsidR="00FD00C0" w:rsidRDefault="00FD00C0">
      <w:pPr>
        <w:jc w:val="both"/>
        <w:rPr>
          <w:sz w:val="28"/>
          <w:szCs w:val="28"/>
        </w:rPr>
      </w:pPr>
    </w:p>
    <w:p w14:paraId="2C494D8F" w14:textId="77777777" w:rsidR="00FD00C0" w:rsidRDefault="00C95DDD">
      <w:pPr>
        <w:jc w:val="both"/>
        <w:rPr>
          <w:sz w:val="28"/>
          <w:szCs w:val="28"/>
        </w:rPr>
      </w:pPr>
      <w:r>
        <w:rPr>
          <w:sz w:val="28"/>
          <w:szCs w:val="28"/>
        </w:rPr>
        <w:t>*Дозволяється об’єднати певну цільову аудиторію в одну табличку (наприклад, футбольний клуб, представники стадіону, офіційні особи матчу, представники офіційного мовника) за зразком:</w:t>
      </w:r>
    </w:p>
    <w:p w14:paraId="13313E9E" w14:textId="77777777" w:rsidR="00FD00C0" w:rsidRDefault="00FD00C0">
      <w:pPr>
        <w:jc w:val="both"/>
        <w:rPr>
          <w:sz w:val="28"/>
          <w:szCs w:val="28"/>
        </w:rPr>
      </w:pPr>
    </w:p>
    <w:tbl>
      <w:tblPr>
        <w:tblStyle w:val="a7"/>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204"/>
        <w:gridCol w:w="1487"/>
        <w:gridCol w:w="2835"/>
        <w:gridCol w:w="992"/>
        <w:gridCol w:w="1984"/>
      </w:tblGrid>
      <w:tr w:rsidR="00FD00C0" w14:paraId="15EABD86" w14:textId="77777777">
        <w:tc>
          <w:tcPr>
            <w:tcW w:w="704" w:type="dxa"/>
            <w:shd w:val="clear" w:color="auto" w:fill="auto"/>
          </w:tcPr>
          <w:p w14:paraId="633BFACE" w14:textId="77777777" w:rsidR="00FD00C0" w:rsidRDefault="00C95DDD">
            <w:pPr>
              <w:jc w:val="center"/>
              <w:rPr>
                <w:sz w:val="26"/>
                <w:szCs w:val="26"/>
              </w:rPr>
            </w:pPr>
            <w:r>
              <w:rPr>
                <w:sz w:val="26"/>
                <w:szCs w:val="26"/>
              </w:rPr>
              <w:t>№ з/п</w:t>
            </w:r>
          </w:p>
        </w:tc>
        <w:tc>
          <w:tcPr>
            <w:tcW w:w="2204" w:type="dxa"/>
            <w:shd w:val="clear" w:color="auto" w:fill="auto"/>
          </w:tcPr>
          <w:p w14:paraId="0F118EA6" w14:textId="77777777" w:rsidR="00FD00C0" w:rsidRDefault="00C95DDD">
            <w:pPr>
              <w:jc w:val="center"/>
              <w:rPr>
                <w:sz w:val="26"/>
                <w:szCs w:val="26"/>
              </w:rPr>
            </w:pPr>
            <w:r>
              <w:rPr>
                <w:sz w:val="26"/>
                <w:szCs w:val="26"/>
              </w:rPr>
              <w:t>ПІБ</w:t>
            </w:r>
          </w:p>
        </w:tc>
        <w:tc>
          <w:tcPr>
            <w:tcW w:w="1487" w:type="dxa"/>
            <w:shd w:val="clear" w:color="auto" w:fill="auto"/>
          </w:tcPr>
          <w:p w14:paraId="2F9A39AB" w14:textId="77777777" w:rsidR="00FD00C0" w:rsidRDefault="00C95DDD">
            <w:pPr>
              <w:jc w:val="center"/>
              <w:rPr>
                <w:sz w:val="26"/>
                <w:szCs w:val="26"/>
              </w:rPr>
            </w:pPr>
            <w:r>
              <w:rPr>
                <w:sz w:val="26"/>
                <w:szCs w:val="26"/>
              </w:rPr>
              <w:t>Посада</w:t>
            </w:r>
          </w:p>
        </w:tc>
        <w:tc>
          <w:tcPr>
            <w:tcW w:w="2835" w:type="dxa"/>
            <w:shd w:val="clear" w:color="auto" w:fill="auto"/>
          </w:tcPr>
          <w:p w14:paraId="4AA313E9" w14:textId="77777777" w:rsidR="00FD00C0" w:rsidRDefault="00C95DDD">
            <w:pPr>
              <w:jc w:val="center"/>
              <w:rPr>
                <w:sz w:val="26"/>
                <w:szCs w:val="26"/>
              </w:rPr>
            </w:pPr>
            <w:r>
              <w:rPr>
                <w:sz w:val="26"/>
                <w:szCs w:val="26"/>
              </w:rPr>
              <w:t>Отримав інструкції з порядком дій у разі виникнення надзвичайної ситуації або в разі оголошення повітряної тривоги.</w:t>
            </w:r>
          </w:p>
          <w:p w14:paraId="6D3FB3B9" w14:textId="77777777" w:rsidR="00FD00C0" w:rsidRDefault="00C95DDD">
            <w:pPr>
              <w:jc w:val="center"/>
              <w:rPr>
                <w:sz w:val="26"/>
                <w:szCs w:val="26"/>
              </w:rPr>
            </w:pPr>
            <w:r>
              <w:rPr>
                <w:sz w:val="26"/>
                <w:szCs w:val="26"/>
              </w:rPr>
              <w:t>Погоджуюся виконувати інструкції</w:t>
            </w:r>
          </w:p>
          <w:p w14:paraId="3FDEB77E" w14:textId="77777777" w:rsidR="00FD00C0" w:rsidRDefault="00FD00C0">
            <w:pPr>
              <w:jc w:val="center"/>
              <w:rPr>
                <w:sz w:val="26"/>
                <w:szCs w:val="26"/>
              </w:rPr>
            </w:pPr>
          </w:p>
        </w:tc>
        <w:tc>
          <w:tcPr>
            <w:tcW w:w="992" w:type="dxa"/>
            <w:shd w:val="clear" w:color="auto" w:fill="auto"/>
          </w:tcPr>
          <w:p w14:paraId="5E323D34" w14:textId="77777777" w:rsidR="00FD00C0" w:rsidRDefault="00C95DDD">
            <w:pPr>
              <w:jc w:val="center"/>
              <w:rPr>
                <w:sz w:val="26"/>
                <w:szCs w:val="26"/>
              </w:rPr>
            </w:pPr>
            <w:r>
              <w:rPr>
                <w:sz w:val="26"/>
                <w:szCs w:val="26"/>
              </w:rPr>
              <w:t>Дата</w:t>
            </w:r>
          </w:p>
        </w:tc>
        <w:tc>
          <w:tcPr>
            <w:tcW w:w="1984" w:type="dxa"/>
            <w:shd w:val="clear" w:color="auto" w:fill="auto"/>
          </w:tcPr>
          <w:p w14:paraId="4862EB53" w14:textId="77777777" w:rsidR="00FD00C0" w:rsidRDefault="00C95DDD">
            <w:pPr>
              <w:jc w:val="center"/>
              <w:rPr>
                <w:sz w:val="26"/>
                <w:szCs w:val="26"/>
              </w:rPr>
            </w:pPr>
            <w:r>
              <w:rPr>
                <w:sz w:val="26"/>
                <w:szCs w:val="26"/>
              </w:rPr>
              <w:t>Підпис</w:t>
            </w:r>
          </w:p>
        </w:tc>
      </w:tr>
      <w:tr w:rsidR="00FD00C0" w14:paraId="141D812D" w14:textId="77777777">
        <w:tc>
          <w:tcPr>
            <w:tcW w:w="704" w:type="dxa"/>
            <w:shd w:val="clear" w:color="auto" w:fill="auto"/>
          </w:tcPr>
          <w:p w14:paraId="69758682" w14:textId="77777777" w:rsidR="00FD00C0" w:rsidRDefault="00C95DDD">
            <w:pPr>
              <w:jc w:val="both"/>
              <w:rPr>
                <w:sz w:val="26"/>
                <w:szCs w:val="26"/>
              </w:rPr>
            </w:pPr>
            <w:r>
              <w:rPr>
                <w:sz w:val="26"/>
                <w:szCs w:val="26"/>
              </w:rPr>
              <w:t>1.</w:t>
            </w:r>
          </w:p>
        </w:tc>
        <w:tc>
          <w:tcPr>
            <w:tcW w:w="2204" w:type="dxa"/>
            <w:shd w:val="clear" w:color="auto" w:fill="auto"/>
          </w:tcPr>
          <w:p w14:paraId="5CB61858" w14:textId="77777777" w:rsidR="00FD00C0" w:rsidRDefault="00FD00C0">
            <w:pPr>
              <w:jc w:val="both"/>
              <w:rPr>
                <w:sz w:val="26"/>
                <w:szCs w:val="26"/>
              </w:rPr>
            </w:pPr>
          </w:p>
        </w:tc>
        <w:tc>
          <w:tcPr>
            <w:tcW w:w="1487" w:type="dxa"/>
            <w:shd w:val="clear" w:color="auto" w:fill="auto"/>
          </w:tcPr>
          <w:p w14:paraId="50D0D01E" w14:textId="77777777" w:rsidR="00FD00C0" w:rsidRDefault="00FD00C0">
            <w:pPr>
              <w:jc w:val="both"/>
              <w:rPr>
                <w:sz w:val="26"/>
                <w:szCs w:val="26"/>
              </w:rPr>
            </w:pPr>
          </w:p>
        </w:tc>
        <w:tc>
          <w:tcPr>
            <w:tcW w:w="2835" w:type="dxa"/>
            <w:shd w:val="clear" w:color="auto" w:fill="auto"/>
          </w:tcPr>
          <w:p w14:paraId="75CCFB2B" w14:textId="77777777" w:rsidR="00FD00C0" w:rsidRDefault="00C95DDD">
            <w:pPr>
              <w:jc w:val="center"/>
              <w:rPr>
                <w:sz w:val="26"/>
                <w:szCs w:val="26"/>
              </w:rPr>
            </w:pPr>
            <w:r>
              <w:rPr>
                <w:sz w:val="26"/>
                <w:szCs w:val="26"/>
              </w:rPr>
              <w:t>Так/Ні</w:t>
            </w:r>
          </w:p>
        </w:tc>
        <w:tc>
          <w:tcPr>
            <w:tcW w:w="992" w:type="dxa"/>
            <w:shd w:val="clear" w:color="auto" w:fill="auto"/>
          </w:tcPr>
          <w:p w14:paraId="53CC8C84" w14:textId="77777777" w:rsidR="00FD00C0" w:rsidRDefault="00FD00C0">
            <w:pPr>
              <w:jc w:val="both"/>
              <w:rPr>
                <w:sz w:val="26"/>
                <w:szCs w:val="26"/>
              </w:rPr>
            </w:pPr>
          </w:p>
        </w:tc>
        <w:tc>
          <w:tcPr>
            <w:tcW w:w="1984" w:type="dxa"/>
            <w:shd w:val="clear" w:color="auto" w:fill="auto"/>
          </w:tcPr>
          <w:p w14:paraId="6937935F" w14:textId="77777777" w:rsidR="00FD00C0" w:rsidRDefault="00FD00C0">
            <w:pPr>
              <w:jc w:val="both"/>
              <w:rPr>
                <w:sz w:val="26"/>
                <w:szCs w:val="26"/>
              </w:rPr>
            </w:pPr>
          </w:p>
        </w:tc>
      </w:tr>
      <w:tr w:rsidR="00FD00C0" w14:paraId="01B682A7" w14:textId="77777777">
        <w:tc>
          <w:tcPr>
            <w:tcW w:w="704" w:type="dxa"/>
            <w:shd w:val="clear" w:color="auto" w:fill="auto"/>
          </w:tcPr>
          <w:p w14:paraId="4AF150C5" w14:textId="77777777" w:rsidR="00FD00C0" w:rsidRDefault="00C95DDD">
            <w:pPr>
              <w:jc w:val="both"/>
              <w:rPr>
                <w:sz w:val="26"/>
                <w:szCs w:val="26"/>
              </w:rPr>
            </w:pPr>
            <w:r>
              <w:rPr>
                <w:sz w:val="26"/>
                <w:szCs w:val="26"/>
              </w:rPr>
              <w:t>2.</w:t>
            </w:r>
          </w:p>
        </w:tc>
        <w:tc>
          <w:tcPr>
            <w:tcW w:w="2204" w:type="dxa"/>
            <w:shd w:val="clear" w:color="auto" w:fill="auto"/>
          </w:tcPr>
          <w:p w14:paraId="26B482F7" w14:textId="77777777" w:rsidR="00FD00C0" w:rsidRDefault="00FD00C0">
            <w:pPr>
              <w:jc w:val="both"/>
              <w:rPr>
                <w:sz w:val="26"/>
                <w:szCs w:val="26"/>
              </w:rPr>
            </w:pPr>
          </w:p>
        </w:tc>
        <w:tc>
          <w:tcPr>
            <w:tcW w:w="1487" w:type="dxa"/>
            <w:shd w:val="clear" w:color="auto" w:fill="auto"/>
          </w:tcPr>
          <w:p w14:paraId="7610F8B2" w14:textId="77777777" w:rsidR="00FD00C0" w:rsidRDefault="00FD00C0">
            <w:pPr>
              <w:jc w:val="both"/>
              <w:rPr>
                <w:sz w:val="26"/>
                <w:szCs w:val="26"/>
              </w:rPr>
            </w:pPr>
          </w:p>
        </w:tc>
        <w:tc>
          <w:tcPr>
            <w:tcW w:w="2835" w:type="dxa"/>
            <w:shd w:val="clear" w:color="auto" w:fill="auto"/>
          </w:tcPr>
          <w:p w14:paraId="0421C2FF" w14:textId="77777777" w:rsidR="00FD00C0" w:rsidRDefault="00FD00C0">
            <w:pPr>
              <w:jc w:val="center"/>
              <w:rPr>
                <w:sz w:val="26"/>
                <w:szCs w:val="26"/>
              </w:rPr>
            </w:pPr>
          </w:p>
        </w:tc>
        <w:tc>
          <w:tcPr>
            <w:tcW w:w="992" w:type="dxa"/>
            <w:shd w:val="clear" w:color="auto" w:fill="auto"/>
          </w:tcPr>
          <w:p w14:paraId="1E426DB5" w14:textId="77777777" w:rsidR="00FD00C0" w:rsidRDefault="00FD00C0">
            <w:pPr>
              <w:jc w:val="both"/>
              <w:rPr>
                <w:sz w:val="26"/>
                <w:szCs w:val="26"/>
              </w:rPr>
            </w:pPr>
          </w:p>
        </w:tc>
        <w:tc>
          <w:tcPr>
            <w:tcW w:w="1984" w:type="dxa"/>
            <w:shd w:val="clear" w:color="auto" w:fill="auto"/>
          </w:tcPr>
          <w:p w14:paraId="75776DA6" w14:textId="77777777" w:rsidR="00FD00C0" w:rsidRDefault="00FD00C0">
            <w:pPr>
              <w:jc w:val="both"/>
              <w:rPr>
                <w:sz w:val="26"/>
                <w:szCs w:val="26"/>
              </w:rPr>
            </w:pPr>
          </w:p>
        </w:tc>
      </w:tr>
      <w:tr w:rsidR="00FD00C0" w14:paraId="13D6B221" w14:textId="77777777">
        <w:tc>
          <w:tcPr>
            <w:tcW w:w="704" w:type="dxa"/>
            <w:shd w:val="clear" w:color="auto" w:fill="auto"/>
          </w:tcPr>
          <w:p w14:paraId="51BEF232" w14:textId="77777777" w:rsidR="00FD00C0" w:rsidRDefault="00FD00C0">
            <w:pPr>
              <w:jc w:val="both"/>
              <w:rPr>
                <w:sz w:val="26"/>
                <w:szCs w:val="26"/>
              </w:rPr>
            </w:pPr>
          </w:p>
        </w:tc>
        <w:tc>
          <w:tcPr>
            <w:tcW w:w="2204" w:type="dxa"/>
            <w:shd w:val="clear" w:color="auto" w:fill="auto"/>
          </w:tcPr>
          <w:p w14:paraId="255E447B" w14:textId="77777777" w:rsidR="00FD00C0" w:rsidRDefault="00FD00C0">
            <w:pPr>
              <w:jc w:val="both"/>
              <w:rPr>
                <w:sz w:val="26"/>
                <w:szCs w:val="26"/>
              </w:rPr>
            </w:pPr>
          </w:p>
        </w:tc>
        <w:tc>
          <w:tcPr>
            <w:tcW w:w="1487" w:type="dxa"/>
            <w:shd w:val="clear" w:color="auto" w:fill="auto"/>
          </w:tcPr>
          <w:p w14:paraId="2C75E4C6" w14:textId="77777777" w:rsidR="00FD00C0" w:rsidRDefault="00FD00C0">
            <w:pPr>
              <w:jc w:val="both"/>
              <w:rPr>
                <w:sz w:val="26"/>
                <w:szCs w:val="26"/>
              </w:rPr>
            </w:pPr>
          </w:p>
        </w:tc>
        <w:tc>
          <w:tcPr>
            <w:tcW w:w="2835" w:type="dxa"/>
            <w:shd w:val="clear" w:color="auto" w:fill="auto"/>
          </w:tcPr>
          <w:p w14:paraId="41D63B59" w14:textId="77777777" w:rsidR="00FD00C0" w:rsidRDefault="00FD00C0">
            <w:pPr>
              <w:jc w:val="center"/>
              <w:rPr>
                <w:sz w:val="26"/>
                <w:szCs w:val="26"/>
              </w:rPr>
            </w:pPr>
          </w:p>
        </w:tc>
        <w:tc>
          <w:tcPr>
            <w:tcW w:w="992" w:type="dxa"/>
            <w:shd w:val="clear" w:color="auto" w:fill="auto"/>
          </w:tcPr>
          <w:p w14:paraId="52AFA0BE" w14:textId="77777777" w:rsidR="00FD00C0" w:rsidRDefault="00FD00C0">
            <w:pPr>
              <w:jc w:val="both"/>
              <w:rPr>
                <w:sz w:val="26"/>
                <w:szCs w:val="26"/>
              </w:rPr>
            </w:pPr>
          </w:p>
        </w:tc>
        <w:tc>
          <w:tcPr>
            <w:tcW w:w="1984" w:type="dxa"/>
            <w:shd w:val="clear" w:color="auto" w:fill="auto"/>
          </w:tcPr>
          <w:p w14:paraId="36B689F1" w14:textId="77777777" w:rsidR="00FD00C0" w:rsidRDefault="00FD00C0">
            <w:pPr>
              <w:jc w:val="both"/>
              <w:rPr>
                <w:sz w:val="26"/>
                <w:szCs w:val="26"/>
              </w:rPr>
            </w:pPr>
          </w:p>
        </w:tc>
      </w:tr>
    </w:tbl>
    <w:p w14:paraId="2E7C4BB8" w14:textId="77777777" w:rsidR="00FD00C0" w:rsidRDefault="00FD00C0">
      <w:pPr>
        <w:rPr>
          <w:sz w:val="28"/>
          <w:szCs w:val="28"/>
        </w:rPr>
      </w:pPr>
    </w:p>
    <w:sectPr w:rsidR="00FD00C0">
      <w:pgSz w:w="11906" w:h="16838"/>
      <w:pgMar w:top="567" w:right="424" w:bottom="1134" w:left="99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640E1"/>
    <w:multiLevelType w:val="multilevel"/>
    <w:tmpl w:val="618CA9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04166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0C0"/>
    <w:rsid w:val="007369BF"/>
    <w:rsid w:val="00C95DDD"/>
    <w:rsid w:val="00FD00C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21DC7"/>
  <w15:docId w15:val="{F1E48DF4-E19B-4D41-9DB6-6F2B8F85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uk-U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008"/>
    <w:pPr>
      <w:autoSpaceDE w:val="0"/>
      <w:autoSpaceDN w:val="0"/>
    </w:pPr>
    <w:rPr>
      <w:lang w:eastAsia="uk-U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99"/>
    <w:qFormat/>
    <w:rsid w:val="006C2008"/>
    <w:pPr>
      <w:ind w:left="460" w:firstLine="559"/>
      <w:jc w:val="both"/>
    </w:pPr>
  </w:style>
  <w:style w:type="table" w:styleId="a5">
    <w:name w:val="Table Grid"/>
    <w:basedOn w:val="a1"/>
    <w:uiPriority w:val="39"/>
    <w:rsid w:val="006C2008"/>
    <w:rPr>
      <w:rFonts w:ascii="Calibri" w:eastAsia="Calibri" w:hAnsi="Calibri"/>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TableNormal"/>
    <w:rPr>
      <w:rFonts w:ascii="Calibri" w:eastAsia="Calibri" w:hAnsi="Calibri" w:cs="Calibri"/>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5Uv/MUtKBI++3NsmUd+Zy5Sctg==">AMUW2mX1K0gperHTZy7XqOz5Rq5YjJazM7uGYX3a5tDiGJqu6mn4Fimef6qgnwlRSDwzRj50jbIUvrRYQ/gcjI0I97hrLpiwWlJqw1refeyQErpVGh6JiwDNkxx7dhBJzNSF90lU7dUr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4707</Characters>
  <Application>Microsoft Office Word</Application>
  <DocSecurity>0</DocSecurity>
  <Lines>39</Lines>
  <Paragraphs>11</Paragraphs>
  <ScaleCrop>false</ScaleCrop>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c:creator>
  <cp:lastModifiedBy>kornienko natalia</cp:lastModifiedBy>
  <cp:revision>2</cp:revision>
  <dcterms:created xsi:type="dcterms:W3CDTF">2022-11-22T14:36:00Z</dcterms:created>
  <dcterms:modified xsi:type="dcterms:W3CDTF">2022-11-22T14:36:00Z</dcterms:modified>
</cp:coreProperties>
</file>